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F9AE7" w14:textId="77777777" w:rsidR="00C577A3" w:rsidRDefault="00C577A3" w:rsidP="00C577A3">
      <w:pPr>
        <w:pStyle w:val="NormalWeb"/>
        <w:ind w:left="150" w:right="150"/>
        <w:jc w:val="center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CONTRATO DE COMPROMISSO DE COMPRA E VENDA DE IMÓVEL</w:t>
      </w:r>
    </w:p>
    <w:p w14:paraId="643F9AE7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/>
          <w:color w:val="9C2727"/>
          <w:sz w:val="22"/>
        </w:rPr>
        <w:t>AVISO IMPORTANTE — Este é um MODELO sugestivo, disponibilizado gratuitamente pela Bethof apenas para fins informativos. Não é um documento pronto para uso e não constitui parecer, consultoria ou aconselhamento jurídico, contábil ou tributário. Cada operação possui particularidades de fato e de direito que podem exigir cláusulas próprias. Antes de utilizar, adapte o texto à sua realidade e submeta o documento à análise de um advogado e do seu contador.</w:t>
      </w:r>
    </w:p>
    <w:p w14:paraId="772675D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COMPROMITENTE: (nome completo), (nacionalidade), (naturalidade), (estado civil), (regime de bens, se casado), (nome completo e qualificação do cônjuge, que também assina este instrumento), (data de nascimento, se solteiro), (profissão), (nº do CPF), (documento de identidade, órgão expedidor e UF onde foi emitida; documentos válidos como identidade: carteira de identidade, certificado de reservista, carteira de identidade profissional, Carteira de Trabalho e Previdência Social e Carteira Nacional de Habilitação, nos termos da Lei nº 9.503/1997), (domicílio e residência, tipo e nome do logradouro, número, bairro/distrito, município, Unidade Federativa e CEP); e</w:t>
      </w:r>
    </w:p>
    <w:p w14:paraId="1982D454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COMPROMISSÁRIO: (nome completo), (nacionalidade), (naturalidade), (estado civil), (regime de bens, se casado), (data de nascimento, se solteiro), (profissão), (nº do CPF), (documento de identidade, órgão expedidor e UF onde foi emitida; documentos válidos como identidade: carteira de identidade, certificado de reservista, carteira de identidade profissional, Carteira de Trabalho e Previdência Social e Carteira Nacional de Habilitação, nos termos da Lei nº 9.503/1997), (domicílio e residência, tipo e nome do logradouro, número, bairro/distrito, município, Unidade Federativa e CEP).</w:t>
      </w:r>
    </w:p>
    <w:p w14:paraId="1982D454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Atenção: sendo o compromitente casado, salvo no regime de separação absoluta de bens, a venda de imóvel depende da autorização do cônjuge — a chamada outorga conjugal, exigida pelo art. 1.647, inciso I, do Código Civil (Lei nº 10.406/2002). Sem essa assinatura o negócio é anulável, na forma do art. 1.649, e o tabelionato recusará a escritura definitiva. Por isso o cônjuge deve ser qualificado e assinar também este compromisso; em união estável com escritura de convivência, verifique o regime adotado com o seu advogado.</w:t>
      </w:r>
    </w:p>
    <w:p w14:paraId="4B1868AA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Os abaixo assinados, (nome), doravante denominado COMPROMITENTE, e (nome), doravante denominado COMPROMISSÁRIO, pelo presente instrumento particular de compromisso de compra e venda, contratam a venda e compra de um terreno situado na (localização), com a área de ____ m² (área por extenso), medindo ____ metros de frente por ____ metros da frente aos fundos, confinando (especificar os imóveis dos lados e dos fundos), objeto da matrícula nº ______ do Cartório de Registro de Imóveis de (Cidade/Estado) e inscrito no cadastro imobiliário municipal sob o nº ______, mediante os termos estabelecidos nas cláusulas seguintes:</w:t>
      </w:r>
    </w:p>
    <w:p w14:paraId="4B1868AA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Na prática: identificar o imóvel apenas por medidas e confrontações não basta. É a matrícula atualizada que revela quem é o proprietário e quais ônus recaem sobre o bem. Se o terreno resultar de loteamento ou desmembramento urbano, o negócio é regido pelo Decreto-Lei nº 58/1937 e pela Lei nº 6.766/1979, que exigem o registro prévio do loteamento no Cartório de Registro de Imóveis e impõem conteúdo obrigatório ao contrato (art. 26 da Lei nº 6.766/1979). Compromisso sobre lote de loteamento não registrado é irregular e expõe o comprador a perder o bem.</w:t>
      </w:r>
    </w:p>
    <w:p w14:paraId="02742CE9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PRIMEIRA - O preço total de venda do imóvel é de R$ ____ (valor por extenso), do qual o compromissário paga, neste ato, a título de sinal e princípio de pagamento (arras confirmatórias), a quantia de R$ ____ (valor por extenso), imputada no preço, e o saldo em ____ (número por extenso) parcelas mensais e sucessivas de R$ ____ (valor por extenso) cada, vencendo-se a primeira em ____ / ____ / ______ e as demais no mesmo dia dos meses subsequentes, corrigidas monetariamente pelo ____ (indicar o índice), observada a periodicidade mínima anual.</w:t>
      </w:r>
    </w:p>
    <w:p w14:paraId="02742CE9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O sinal recebido tem natureza de arras. Se as partes nada disserem, presumem-se arras confirmatórias (art. 417 do Código Civil - Lei nº 10.406/2002): somam-se ao preço e, em caso de inadimplemento, quem descumpre perde o sinal ou o devolve em dobro, cabendo ainda indenização suplementar se o prejuízo for maior (art. 419). Se a intenção for permitir o arrependimento, isso precisa ser dito expressamente — serão então arras penitenciais (art. 420), que funcionam como indenização única, afastam qualquer outra multa e impedem que o compromisso gere o direito real à aquisição do art. 1.417.</w:t>
      </w:r>
    </w:p>
    <w:p w14:paraId="3DEB906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SEGUNDA - O atraso no pagamento de 2 (duas) prestações sucessivas autoriza o compromitente a considerar resolvido este compromisso, desde que previamente interpele o compromissário, judicial ou extrajudicialmente, concedendo-lhe o prazo de 15 (quinze) dias para purgar a mora, na forma do Decreto-Lei nº 745/1969. Purgada a mora nesse prazo, o contrato prossegue em todos os seus termos, respondendo o compromissário pela multa moratória de ____% (percentual por extenso), pelos juros de mora de ____% (percentual por extenso) ao mês e pela correção monetária do período.</w:t>
      </w:r>
    </w:p>
    <w:p w14:paraId="3DEB906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Importante: não existe rescisão automática por atraso em compromisso de compra e venda de imóvel. O Decreto-Lei nº 745/1969 exige que o vendedor interpele previamente o comprador, concedendo-lhe 15 (quinze) dias para pagar; purgada a mora nesse prazo, o contrato prossegue. E, mesmo que o compromisso não esteja registrado, a interpelação continua indispensável, como diz a Súmula 76 do Superior Tribunal de Justiça: 'A falta de registro do compromisso de compra e venda de imóvel não dispensa a prévia interpelação para constituir em mora o devedor'. Cláusula que dispensa a notificação simplesmente não produz efeito na prática.</w:t>
      </w:r>
    </w:p>
    <w:p w14:paraId="110EB9C0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b/>
          <w:bCs/>
          <w:color w:val="000000"/>
          <w:sz w:val="22"/>
          <w:szCs w:val="22"/>
        </w:rPr>
        <w:t>CLÁUSULA TERCEIRA</w:t>
      </w:r>
      <w:r>
        <w:rPr>
          <w:rFonts w:ascii="Nunito" w:hAnsi="Nunito"/>
          <w:color w:val="000000"/>
          <w:sz w:val="22"/>
          <w:szCs w:val="22"/>
        </w:rPr>
        <w:t> - Todo e qualquer recebimento de importâncias pagas com atraso, pelo compromitente, será tido como mera liberalidade, não implicando alteração tácita dos termos deste instrumento.</w:t>
      </w:r>
    </w:p>
    <w:p w14:paraId="7CF8C36D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QUARTA - O compromissário, tão logo firmado este instrumento e pago o sinal, será imitido na posse direta do imóvel, que exercerá em nome próprio e com ânimo de futuro proprietário, respondendo, a partir de então, pela sua conservação, guarda e segurança, até a outorga da escritura definitiva.</w:t>
      </w:r>
    </w:p>
    <w:p w14:paraId="7CF8C36D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Na compra e venda a prazo com imissão na posse, o compromissário exerce posse própria, com ânimo de dono, e pode se defender de turbação e esbulho, inclusive contra o próprio vendedor. Evite redação que diga que ele exerce a posse 'em nome do compromitente': isso o rebaixaria a mero detentor e enfraqueceria a sua proteção possessória, justamente quem está pagando pelo imóvel.</w:t>
      </w:r>
    </w:p>
    <w:p w14:paraId="6E6E3424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QUINTA - O compromissário poderá realizar no imóvel as benfeitorias e acessões que entender convenientes, observadas as posturas municipais e a legislação urbanística e ambiental aplicável, ficando elas incorporadas ao imóvel. Resolvido o contrato por culpa do compromissário, não haverá indenização pelas benfeitorias úteis e voluptuárias, ressalvado o direito à indenização das benfeitorias necessárias, na forma dos arts. 1.219 e 1.222 do Código Civil (Lei nº 10.406/2002).</w:t>
      </w:r>
    </w:p>
    <w:p w14:paraId="6E6E3424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Renúncia total à indenização por benfeitorias costuma cair na Justiça quando se trata das benfeitorias necessárias, isto é, aquelas indispensáveis à conservação do imóvel, como a troca de um telhado. O art. 1.219 do Código Civil (Lei nº 10.406/2002) assegura ao possuidor de boa-fé a indenização das necessárias e das úteis, e as necessárias são indenizáveis mesmo ao possuidor de má-fé (art. 1.220). Manter essa ressalva evita que a cláusula inteira seja invalidada.</w:t>
      </w:r>
    </w:p>
    <w:p w14:paraId="14D3398C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SEXTA - O compromitente se obriga a cercar o imóvel no prazo de ____ (prazo por extenso) dias, contado da assinatura deste instrumento, sob pena de o compromissário fazê-lo e descontar o custo comprovado das prestações vincendas.</w:t>
      </w:r>
    </w:p>
    <w:p w14:paraId="06537C1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SÉTIMA - Pagas integralmente as prestações estipuladas na Cláusula Primeira, o compromitente providenciará, no prazo de ____ (prazo por extenso) dias, a outorga da escritura definitiva de compra e venda em favor do compromissário, comparecendo ao tabelionato e apresentando as certidões então exigidas, correndo o imposto de transmissão, os emolumentos de escritura e as despesas de registro por conta da parte indicada na Cláusula Décima Terceira.</w:t>
      </w:r>
    </w:p>
    <w:p w14:paraId="4BCB413C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OITAVA - A partir da assinatura deste instrumento e da imissão do compromissário na posse, correrão por conta deste o Imposto Predial e Territorial Urbano (IPTU), as taxas, as contribuições de melhoria e os demais encargos incidentes sobre o imóvel, obrigando-se o compromitente a comprovar a quitação de todos os tributos vencidos até essa data.</w:t>
      </w:r>
    </w:p>
    <w:p w14:paraId="4BCB413C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Importante: perante o Município, o art. 130 do Código Tributário Nacional (Lei nº 5.172/1966) faz os tributos sobre o imóvel acompanharem o bem — quem adquire responde por IPTU e taxas atrasados, salvo se do título constar a prova de quitação. A cláusula que divide o encargo vale entre as partes e assegura o regresso, mas não impede a cobrança do adquirente. Exija a certidão negativa de tributos municipais antes de pagar.</w:t>
      </w:r>
    </w:p>
    <w:p w14:paraId="4F92895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NONA - Se o compromitente, após o pagamento integral das importâncias descritas na Cláusula Primeira, recusar-se a outorgar a escritura definitiva em favor do compromissário, poderá este, à sua escolha: (i) exigir a adjudicação compulsória do imóvel, judicial ou extrajudicialmente, nos termos do art. 1.418 do Código Civil (Lei nº 10.406/2002) e do art. 216-B da Lei nº 6.015/1973; ou (ii) resolver o contrato, hipótese em que receberá de volta, corrigidas monetariamente, todas as importâncias pagas, acrescidas da indenização pelas benfeitorias necessárias e úteis e da multa contratual de ____% (percentual por extenso) sobre o valor do contrato, sem prejuízo das perdas e danos comprovadas.</w:t>
      </w:r>
    </w:p>
    <w:p w14:paraId="4F92895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Atenção: a devolução 'em dobro' é regra própria das arras (art. 418 do Código Civil - Lei nº 10.406/2002) e, tratando-se de arras penitenciais, exclui qualquer indenização suplementar, inclusive multa contratual (art. 420). Somar as duas coisas cria cláusula contraditória e de difícil execução. Mais importante: registrado o compromisso e não havendo cláusula de arrependimento, o compromissário quitado não precisa se contentar com dinheiro — pode obter a propriedade por adjudicação compulsória, hoje também pela via extrajudicial, no próprio cartório, na forma do art. 216-B da Lei nº 6.015/1973.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- Se o compromissário deixar de efetuar o pagamento das prestações estabelecidas na Cláusula Primeira e não purgar a mora no prazo previsto na Cláusula Segunda, ou infringir qualquer outra cláusula deste instrumento, poderá o compromitente considerar resolvido este compromisso, hipótese em que restituirá ao compromissário as importâncias por ele pagas, corrigidas monetariamente, autorizada a retenção de até ____% (percentual por extenso) dos valores pagos a título de cláusula penal e despesas administrativas, bem como a dedução dos tributos e encargos do imóvel suportados pelo compromitente e do valor correspondente à fruição do bem, caso tenha havido imissão na posse. A restituição será efetuada em parcela única, no prazo de ____ (prazo por extenso) dias contados da desocupação do imóvel.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Cuidado: não estipule a perda de todas as importâncias pagas — a chamada cláusula de decaimento é nula. O art. 53 do Código de Defesa do Consumidor (Lei nº 8.078/1990) veda a perda total das prestações, e a Lei nº 13.786/2018, conhecida como Lei do Distrato, fixou limites claros: nas incorporações imobiliárias, a retenção é de até 25% do valor pago, ou até 50% quando houver patrimônio de afetação, e nos loteamentos é de até 10% do valor pago, além dos encargos previstos no art. 32-A da Lei nº 6.766/1979. Mesmo entre particulares, fora do regime consumerista, os tribunais reduzem a retenção a percentuais dessa ordem — defina o número com o seu advogado, conforme o tipo de empreendimento.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PRIMEIRA - O presente compromisso poderá ser registrado na matrícula do imóvel, no Cartório de Registro de Imóveis competente, por iniciativa e às expensas do compromissário, hipótese em que, por não conter cláusula de arrependimento, conferirá ao compromissário direito real à aquisição do imóvel, oponível a terceiros, nos termos dos arts. 1.417 e 1.418 do Código Civil (Lei nº 10.406/2002) e do art. 167, inciso I, item 9, da Lei nº 6.015/1973. O compromitente obriga-se a firmar e fornecer, no prazo de ____ (prazo por extenso) dias, todos os documentos necessários ao registro.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Registrar o compromisso na matrícula é a diferença entre ter um direito contra o vendedor e ter um direito sobre o imóvel. Registrado e sem cláusula de arrependimento, o compromisso gera direito real à aquisição (arts. 1.417 e 1.418 do Código Civil - Lei nº 10.406/2002), oponível a terceiros: o comprador fica protegido se o vendedor revender o bem, sofrer penhora ou vier a falir. O custo do registro é pequeno diante do risco de não registrar.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SEGUNDA - O compromitente declara que o imóvel se encontra livre e desembaraçado de ônus, dívidas, hipotecas, penhoras e quaisquer restrições, e obriga-se a entregar ao compromissário, na assinatura deste instrumento: certidão de matrícula atualizada, expedida há no máximo 30 (trinta) dias; certidão negativa de tributos municipais incidentes sobre o imóvel; certidões negativas de débitos federais, estaduais e municipais em seu nome; Certidão Negativa de Débitos Trabalhistas; certidões dos distribuidores cíveis, fiscais, criminais, de execuções e de falência e recuperação judicial das justiças estadual e federal de seu domicílio e da situação do imóvel; e, tratando-se de unidade em condomínio, declaração do síndico sobre a inexistência de débitos condominiais.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As certidões não são burocracia: elas revelam se o vendedor tem dívidas capazes de tornar a venda ineficaz por fraude à execução, nos termos do art. 792 do Código de Processo Civil (Lei nº 13.105/2015). O Superior Tribunal de Justiça, na Súmula 375, exige o registro da penhora ou a prova da má-fé do adquirente — e é justamente o conjunto de certidões que demonstra a boa-fé de quem comprou. Guarde-as arquivadas junto com o contrato.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TERCEIRA - O Imposto sobre a Transmissão de Bens Imóveis (ITBI) e os emolumentos de escritura e registro serão suportados por ____ (indicar a parte responsável), observado que o fato gerador do ITBI ocorre com a transmissão da propriedade, que se opera com o registro do título no Cartório de Registro de Imóveis. O imposto de renda sobre eventual ganho de capital apurado na alienação é de responsabilidade exclusiva do compromitente, que se obriga a apurá-lo e recolhê-lo nos prazos legais.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O ITBI só é devido na transmissão da propriedade, que ocorre com o registro do título no Cartório de Registro de Imóveis, e não na assinatura do compromisso — entendimento firmado pelo Supremo Tribunal Federal no Tema 1.124 de repercussão geral. Municípios que exigem o imposto já na promessa cobram antes da hora. Do outro lado, o vendedor deve apurar o ganho de capital e recolher o imposto até o último dia útil do mês seguinte ao do recebimento, com as reduções e isenções da Lei nº 9.250/1995 e da Lei nº 11.196/2005 quando cabíveis: leve o caso ao seu contador antes de fechar o preço.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QUARTA - O compromitente responde pela evicção e pelos vícios ocultos do imóvel, nos termos dos arts. 441 a 457 do Código Civil (Lei nº 10.406/2002), obrigando-se a manter o compromissário na posse mansa e pacífica do bem e a defendê-lo de qualquer turbação ou esbulho de terceiros. Sendo o compromissário privado do imóvel, no todo ou em parte, por decisão fundada em causa anterior a este instrumento, terá direito à devolução integral e corrigida das quantias pagas, acrescida das benfeitorias e das perdas e danos comprovadas.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QUINTA - As partes tratarão os dados pessoais constantes deste instrumento e os obtidos em razão dele exclusivamente para a celebração, a execução, o registro e a comprovação do negócio, bem como para o cumprimento de obrigações legais e fiscais, observando a Lei nº 13.709/2018 (Lei Geral de Proteção de Dados Pessoais), e não os compartilharão com terceiros sem base legal adequada, ressalvado o fornecimento a tabelionatos, cartórios de registro de imóveis, instituições financeiras e autoridades públicas quando necessário à formalização da transmissão.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SEXTA - As partes reconhecem a validade da assinatura deste instrumento por meio eletrônico ou digital, inclusive com certificado da Infraestrutura de Chaves Públicas Brasileira (ICP-Brasil), nos termos da Medida Provisória nº 2.200-2/2001 e da Lei nº 14.063/2020, admitida qualquer plataforma que assegure a autoria e a integridade do documento, hipótese em que o instrumento será havido como assinado na data do último registro eletrônico.</w:t>
      </w:r>
    </w:p>
    <w:p w14:paraId="43AABF31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 w:val="0"/>
          <w:color w:val="0B5F73"/>
          <w:sz w:val="22"/>
        </w:rPr>
        <w:t>Nota Bethof:</w:t>
      </w:r>
      <w:r>
        <w:rPr>
          <w:rFonts w:ascii="Nunito" w:hAnsi="Nunito" w:cs="Nunito" w:eastAsia="Nunito"/>
          <w:b w:val="0"/>
          <w:i w:val="0"/>
          <w:color w:val="0B5F73"/>
          <w:sz w:val="22"/>
        </w:rPr>
        <w:t xml:space="preserve"> A assinatura eletrônica é plenamente válida neste compromisso particular. Mas atenção ao passo seguinte: a transmissão da propriedade de imóvel de valor superior a 30 (trinta) salários mínimos exige escritura pública, por força do art. 108 do Código Civil (Lei nº 10.406/2002), e o registro segue as regras próprias de assinatura digital adotadas pelos cartórios. O compromisso particular é a exceção admitida em lei; a escritura definitiva, não.</w:t>
      </w:r>
    </w:p>
    <w:p w14:paraId="0875A1AE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 w:val="0"/>
          <w:i w:val="0"/>
          <w:color w:val="000000"/>
          <w:sz w:val="22"/>
        </w:rPr>
        <w:t>CLÁUSULA DÉCIMA SÉTIMA - Os contratantes elegem, para dirimir qualquer questão pertinente a este instrumento, o foro da situação do imóvel objeto deste compromisso, renunciando, desde logo, a qualquer outro.</w:t>
      </w:r>
    </w:p>
    <w:p w14:paraId="23C852C0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E, por estarem justos e contratados, assinam, compromitente e compromissário, o presente instrumento em ____ vias de igual teor, juntamente com duas testemunhas idôneas abaixo nomeadas, as quais a tudo assistiram.</w:t>
      </w:r>
    </w:p>
    <w:p w14:paraId="571B4E9D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(Local e Data)</w:t>
      </w:r>
    </w:p>
    <w:p w14:paraId="4DA3C616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 e assinatura do Compromitente)</w:t>
      </w:r>
    </w:p>
    <w:p w14:paraId="1EF306CC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 e assinatura do Compromissário)</w:t>
      </w:r>
    </w:p>
    <w:p w14:paraId="6C587A8D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(Nome, RG e assinatura da Testemunha 1)</w:t>
      </w:r>
    </w:p>
    <w:p w14:paraId="19626724" w14:textId="77777777" w:rsidR="00C577A3" w:rsidRDefault="00C577A3" w:rsidP="00C577A3">
      <w:pPr>
        <w:pStyle w:val="NormalWeb"/>
        <w:ind w:left="150" w:right="150"/>
        <w:rPr>
          <w:rFonts w:ascii="Nunito" w:hAnsi="Nunito"/>
          <w:color w:val="000000"/>
          <w:sz w:val="22"/>
          <w:szCs w:val="22"/>
        </w:rPr>
      </w:pPr>
      <w:r>
        <w:rPr>
          <w:rFonts w:ascii="Nunito" w:hAnsi="Nunito"/>
          <w:color w:val="000000"/>
          <w:sz w:val="22"/>
          <w:szCs w:val="22"/>
        </w:rPr>
        <w:t>(Nome, RG e assinatura da Testemunha 2)</w:t>
      </w:r>
    </w:p>
    <w:p w14:paraId="6F1B838D" w14:textId="77777777" w:rsidR="00C577A3" w:rsidRDefault="00C577A3" w:rsidP="00C577A3">
      <w:pPr>
        <w:pStyle w:val="NormalWeb"/>
        <w:ind w:left="150" w:right="150"/>
        <w:jc w:val="both"/>
      </w:pPr>
      <w:r>
        <w:rPr>
          <w:rFonts w:ascii="Nunito" w:hAnsi="Nunito" w:cs="Nunito" w:eastAsia="Nunito"/>
          <w:b/>
          <w:i/>
          <w:color w:val="9C2727"/>
          <w:sz w:val="22"/>
        </w:rPr>
        <w:t>MODELO SUGESTIVO — Documento disponibilizado gratuitamente pela Bethof como base para a elaboração de um instrumento personalizado. Não substitui a análise de um advogado nem a orientação do seu contador, e a sua utilização é de exclusiva responsabilidade do usuário. As referências legais indicadas nas Notas Bethof refletem a legislação vigente na data da revisão e podem ser alteradas — confirme a norma aplicável ao seu caso antes de assinar. Em caso de dúvida, procure um profissional da área ou fale com a Bethof.</w:t>
      </w:r>
    </w:p>
    <w:p w14:paraId="07FA9C1C" w14:textId="77777777" w:rsidR="00492658" w:rsidRPr="00C577A3" w:rsidRDefault="00492658" w:rsidP="00C577A3"/>
    <w:sectPr w:rsidR="00492658" w:rsidRPr="00C577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AE6"/>
    <w:rsid w:val="000D251D"/>
    <w:rsid w:val="00102E37"/>
    <w:rsid w:val="003170FA"/>
    <w:rsid w:val="004024D0"/>
    <w:rsid w:val="00492658"/>
    <w:rsid w:val="004C4BC4"/>
    <w:rsid w:val="00667176"/>
    <w:rsid w:val="007C093F"/>
    <w:rsid w:val="00956B9E"/>
    <w:rsid w:val="009E3656"/>
    <w:rsid w:val="00AA1E92"/>
    <w:rsid w:val="00AB721E"/>
    <w:rsid w:val="00AB748B"/>
    <w:rsid w:val="00C577A3"/>
    <w:rsid w:val="00C752DA"/>
    <w:rsid w:val="00CC0EAA"/>
    <w:rsid w:val="00D04327"/>
    <w:rsid w:val="00D82AE6"/>
    <w:rsid w:val="00E87271"/>
    <w:rsid w:val="00ED6BAF"/>
    <w:rsid w:val="00F0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93DB"/>
  <w15:chartTrackingRefBased/>
  <w15:docId w15:val="{741579B8-9628-4262-A79A-7688A8A6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D6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semiHidden/>
    <w:unhideWhenUsed/>
    <w:rsid w:val="00D82AE6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ED6BA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ED6BA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ED6BAF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paragraph" w:customStyle="1" w:styleId="info">
    <w:name w:val="info"/>
    <w:basedOn w:val="Normal"/>
    <w:rsid w:val="00ED6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obs">
    <w:name w:val="obs"/>
    <w:basedOn w:val="Normal"/>
    <w:rsid w:val="00ED6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ED6BA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ED6BAF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character" w:customStyle="1" w:styleId="grame">
    <w:name w:val="grame"/>
    <w:basedOn w:val="Fontepargpadro"/>
    <w:rsid w:val="00AB7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1203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  <w:div w:id="45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565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  <w:div w:id="19236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8311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  <w:div w:id="20634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8415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  <w:div w:id="2005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4446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  <w:div w:id="9922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4856">
              <w:marLeft w:val="450"/>
              <w:marRight w:val="450"/>
              <w:marTop w:val="0"/>
              <w:marBottom w:val="0"/>
              <w:divBdr>
                <w:top w:val="single" w:sz="6" w:space="0" w:color="E6F2FF"/>
                <w:left w:val="single" w:sz="6" w:space="0" w:color="E6F2FF"/>
                <w:bottom w:val="single" w:sz="2" w:space="0" w:color="E6F2FF"/>
                <w:right w:val="single" w:sz="6" w:space="0" w:color="E6F2FF"/>
              </w:divBdr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Compromisso De Compra E Venda De Imóvel</dc:title>
  <dc:subject/>
  <dc:creator>Bethof</dc:creator>
  <cp:keywords/>
  <dc:description>Modelo sugestivo disponibilizado gratuitamente pela Bethof. Não substitui orientação jurídica ou contábil profissional.</dc:description>
  <cp:lastModifiedBy>Bethof</cp:lastModifiedBy>
  <cp:revision>2</cp:revision>
  <dcterms:created xsi:type="dcterms:W3CDTF">2026-07-29T19:39:00Z</dcterms:created>
  <dcterms:modified xsi:type="dcterms:W3CDTF">2026-07-29T19:39:00Z</dcterms:modified>
  <cp:category>Modelo de documento</cp:category>
</cp:coreProperties>
</file>