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C35E6" w14:textId="77777777" w:rsidR="006249D6" w:rsidRPr="006249D6" w:rsidRDefault="006249D6" w:rsidP="006249D6">
      <w:pPr>
        <w:spacing w:before="100" w:beforeAutospacing="1" w:after="100" w:afterAutospacing="1" w:line="240" w:lineRule="auto"/>
        <w:ind w:left="150" w:right="150"/>
        <w:jc w:val="center"/>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CONTRATO DE LOCAÇÃO DE IMÓVEL RESIDENCIAL/COMERCIAL</w:t>
      </w:r>
    </w:p>
    <w:p w14:paraId="460C35E6"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color w:val="9C2727"/>
          <w:sz w:val="22"/>
        </w:rPr>
        <w:t>AVISO IMPORTANTE — Este é um MODELO sugestivo, disponibilizado gratuitamente pela Bethof apenas para fins informativos. Não é um documento pronto para uso e não constitui parecer, consultoria ou aconselhamento jurídico, contábil ou tributário. Cada operação possui particularidades de fato e de direito que podem exigir cláusulas próprias. Antes de utilizar, adapte o texto à sua realidade e submeta o documento à análise de um advogado e do seu contador.</w:t>
      </w:r>
    </w:p>
    <w:p w14:paraId="5D7C8D5F"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LOCADOR: (nome completo), (nacionalidade), (naturalidade), (estado civil), (regime de bens, se casado), (data de nascimento, se solteiro), (profissão), (nº do CPF), (documento de identidade, órgão expedidor e UF onde foi emitida, documentos válidos como identidade: carteira de identidade, certificado de reservista, carteira de identidade profissional, Carteira de Trabalho e Previdência Social, Carteira Nacional de Habilitação - modelo com base na Lei nº 9.503/1997), (domicílio e residência, tipo e nome do logradouro, número, bairro/distrito, município, Unidade Federativa e CEP).</w:t>
      </w:r>
    </w:p>
    <w:p w14:paraId="0E486708"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LOCATÁRIO: (nome completo), (nacionalidade), (naturalidade), (estado civil), (regime de bens, se casado), (data de nascimento, se solteiro), (profissão), (nº do CPF), (documento de identidade, órgão expedidor e UF onde foi emitida, documentos válidos como identidade: carteira de identidade, certificado de reservista, carteira de identidade profissional, Carteira de Trabalho e Previdência Social, Carteira Nacional de Habilitação - modelo com base na Lei nº 9.503/1997), (domicílio e residência, tipo e nome do logradouro, número, bairro/distrito, município, Unidade Federativa e CEP).</w:t>
      </w:r>
    </w:p>
    <w:p w14:paraId="0AA55881"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FIADORES: (nome completo), (nacionalidade), (naturalidade), (estado civil), (regime de bens, se casado), (data de nascimento, se solteiro), (profissão), (nº do CPF), (documento de identidade, órgão expedidor e UF onde foi emitida, documentos válidos como identidade: carteira de identidade, certificado de reservista, carteira de identidade profissional, Carteira de Trabalho e Previdência Social, Carteira Nacional de Habilitação - modelo com base na Lei nº 9.503/1997), (domicílio e residência, tipo e nome do logradouro, número, bairro/distrito, município, Unidade Federativa e CEP) (incluir informações do cônjuge, se houver).</w:t>
      </w:r>
    </w:p>
    <w:p w14:paraId="0AA55881"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Se o fiador for casado, a fiança exige a assinatura do cônjuge (art. 1.647, inciso III, do Código Civil), e a Súmula nº 332 do Superior Tribunal de Justiça é clara ao afirmar que a falta dessa outorga invalida a garantia por inteiro, e não apenas a meação. Confira o estado civil e o regime de bens na certidão de casamento atualizada e colha as duas assinaturas antes de entregar as chaves.</w:t>
      </w:r>
    </w:p>
    <w:p w14:paraId="044101FE"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IMÓVEL:</w:t>
      </w:r>
      <w:r w:rsidRPr="006249D6">
        <w:rPr>
          <w:rFonts w:ascii="Nunito" w:eastAsia="Times New Roman" w:hAnsi="Nunito" w:cs="Times New Roman"/>
          <w:color w:val="000000"/>
          <w:kern w:val="0"/>
          <w:lang w:eastAsia="pt-BR"/>
          <w14:ligatures w14:val="none"/>
        </w:rPr>
        <w:t> (tipo e endereço completo)</w:t>
      </w:r>
    </w:p>
    <w:p w14:paraId="4CF6186F"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FINALIDADE: </w:t>
      </w:r>
      <w:r w:rsidRPr="006249D6">
        <w:rPr>
          <w:rFonts w:ascii="Nunito" w:eastAsia="Times New Roman" w:hAnsi="Nunito" w:cs="Times New Roman"/>
          <w:color w:val="000000"/>
          <w:kern w:val="0"/>
          <w:lang w:eastAsia="pt-BR"/>
          <w14:ligatures w14:val="none"/>
        </w:rPr>
        <w:t>(residencial ou comercial)</w:t>
      </w:r>
    </w:p>
    <w:p w14:paraId="181425C8"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ATIVIDADE:</w:t>
      </w:r>
      <w:r w:rsidRPr="006249D6">
        <w:rPr>
          <w:rFonts w:ascii="Nunito" w:eastAsia="Times New Roman" w:hAnsi="Nunito" w:cs="Times New Roman"/>
          <w:color w:val="000000"/>
          <w:kern w:val="0"/>
          <w:lang w:eastAsia="pt-BR"/>
          <w14:ligatures w14:val="none"/>
        </w:rPr>
        <w:t> (residência ou comércio)</w:t>
      </w:r>
    </w:p>
    <w:p w14:paraId="57FA19C2"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PRAZO DA LOCAÇÃO: ____ meses (indicar a duração, observando que a lei trata de forma diferente as locações residenciais de 30 meses ou mais e as de prazo inferior)</w:t>
      </w:r>
    </w:p>
    <w:p w14:paraId="57FA19C2"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O prazo escolhido muda a forma de retomar o imóvel na locação residencial. Com contrato escrito de 30 (trinta) meses ou mais, findo o prazo o LOCADOR pode pedir o imóvel de volta sem justificar o motivo, na chamada denúncia vazia (art. 46 da Lei nº 8.245/1991). Com prazo inferior a 30 meses, terminado o contrato a locação se prorroga automaticamente por tempo indeterminado, e a retomada só é possível nas hipóteses do art. 47, entre elas o decurso de 5 (cinco) anos ininterruptos de locação. Na locação não residencial prorrogada por prazo indeterminado, a denúncia se faz mediante aviso escrito com 30 (trinta) dias, na forma do art. 57.</w:t>
      </w:r>
    </w:p>
    <w:p w14:paraId="30BB18D8"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INÍCIO:</w:t>
      </w:r>
      <w:r w:rsidRPr="006249D6">
        <w:rPr>
          <w:rFonts w:ascii="Nunito" w:eastAsia="Times New Roman" w:hAnsi="Nunito" w:cs="Times New Roman"/>
          <w:color w:val="000000"/>
          <w:kern w:val="0"/>
          <w:lang w:eastAsia="pt-BR"/>
          <w14:ligatures w14:val="none"/>
        </w:rPr>
        <w:t> (data)</w:t>
      </w:r>
    </w:p>
    <w:p w14:paraId="14B4E97E"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TÉRMINO:</w:t>
      </w:r>
      <w:r w:rsidRPr="006249D6">
        <w:rPr>
          <w:rFonts w:ascii="Nunito" w:eastAsia="Times New Roman" w:hAnsi="Nunito" w:cs="Times New Roman"/>
          <w:color w:val="000000"/>
          <w:kern w:val="0"/>
          <w:lang w:eastAsia="pt-BR"/>
          <w14:ligatures w14:val="none"/>
        </w:rPr>
        <w:t> (data)</w:t>
      </w:r>
    </w:p>
    <w:p w14:paraId="7B6E4423"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VENCIMENTO: </w:t>
      </w:r>
      <w:r w:rsidRPr="006249D6">
        <w:rPr>
          <w:rFonts w:ascii="Nunito" w:eastAsia="Times New Roman" w:hAnsi="Nunito" w:cs="Times New Roman"/>
          <w:color w:val="000000"/>
          <w:kern w:val="0"/>
          <w:lang w:eastAsia="pt-BR"/>
          <w14:ligatures w14:val="none"/>
        </w:rPr>
        <w:t>(data)</w:t>
      </w:r>
    </w:p>
    <w:p w14:paraId="5038E9DA"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VALOR MENSAL DA LOCAÇÃO: R$ ____ (valor por extenso)</w:t>
      </w:r>
    </w:p>
    <w:p w14:paraId="327022D8"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PERIODICIDADE DO REAJUSTE: anual (indicar o índice: IGP-M, IPCA ou outro pactuado)</w:t>
      </w:r>
    </w:p>
    <w:p w14:paraId="327022D8"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A periodicidade mínima de reajuste no Brasil é anual, por força do art. 2º, § 1º, da Lei nº 10.192/2001, que declara nula qualquer estipulação de reajuste com periodicidade inferior a um ano, de modo que não é possível pactuar correção semestral ou mensal do aluguel. Escolha o índice desde já e preveja um substituto para o caso de extinção: o IGP-M é mais volátil, por refletir preços no atacado e câmbio, enquanto o IPCA acompanha a inflação ao consumidor.</w:t>
      </w:r>
    </w:p>
    <w:p w14:paraId="12F5795C"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color w:val="000000"/>
          <w:kern w:val="0"/>
          <w:lang w:eastAsia="pt-BR"/>
          <w14:ligatures w14:val="none"/>
        </w:rPr>
        <w:t>O </w:t>
      </w:r>
      <w:r w:rsidRPr="006249D6">
        <w:rPr>
          <w:rFonts w:ascii="Nunito" w:eastAsia="Times New Roman" w:hAnsi="Nunito" w:cs="Times New Roman"/>
          <w:b/>
          <w:bCs/>
          <w:color w:val="000000"/>
          <w:kern w:val="0"/>
          <w:lang w:eastAsia="pt-BR"/>
          <w14:ligatures w14:val="none"/>
        </w:rPr>
        <w:t>LOCADOR</w:t>
      </w:r>
      <w:r w:rsidRPr="006249D6">
        <w:rPr>
          <w:rFonts w:ascii="Nunito" w:eastAsia="Times New Roman" w:hAnsi="Nunito" w:cs="Times New Roman"/>
          <w:color w:val="000000"/>
          <w:kern w:val="0"/>
          <w:lang w:eastAsia="pt-BR"/>
          <w14:ligatures w14:val="none"/>
        </w:rPr>
        <w:t> e o </w:t>
      </w:r>
      <w:r w:rsidRPr="006249D6">
        <w:rPr>
          <w:rFonts w:ascii="Nunito" w:eastAsia="Times New Roman" w:hAnsi="Nunito" w:cs="Times New Roman"/>
          <w:b/>
          <w:bCs/>
          <w:color w:val="000000"/>
          <w:kern w:val="0"/>
          <w:lang w:eastAsia="pt-BR"/>
          <w14:ligatures w14:val="none"/>
        </w:rPr>
        <w:t>LOCATÁRIO</w:t>
      </w:r>
      <w:r w:rsidRPr="006249D6">
        <w:rPr>
          <w:rFonts w:ascii="Nunito" w:eastAsia="Times New Roman" w:hAnsi="Nunito" w:cs="Times New Roman"/>
          <w:color w:val="000000"/>
          <w:kern w:val="0"/>
          <w:lang w:eastAsia="pt-BR"/>
          <w14:ligatures w14:val="none"/>
        </w:rPr>
        <w:t>, acima qualificados, resolvem ajustar a locação do imóvel retro descrito, que ora contratam, sob as cláusulas e condições seguintes:</w:t>
      </w:r>
    </w:p>
    <w:p w14:paraId="6E3D7D6F"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PRIMEIRA - A locação vigerá pelo período estabelecido no preâmbulo deste instrumento. Tratando-se de locação residencial ajustada por escrito por prazo igual ou superior a 30 (trinta) meses, ou de locação não residencial, findo o prazo o LOCATÁRIO deverá restituir o imóvel independentemente de notificação judicial ou extrajudicial, na forma dos arts. 46 e 56 da Lei nº 8.245/1991. Nas locações residenciais ajustadas por prazo inferior a 30 (trinta) meses, findo o prazo a locação prorroga-se automaticamente por tempo indeterminado, somente podendo ser retomada nas hipóteses do art. 47 da mesma Lei.</w:t>
      </w:r>
    </w:p>
    <w:p w14:paraId="4802024F"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SEGUNDA - O valor mensal da locação será aquele pactuado no preâmbulo deste instrumento e os aluguéis serão reajustados anualmente, ou na menor periodicidade que a legislação vier a permitir, com base na variação acumulada do índice (indicar índice) e, na hipótese de sua extinção, do índice que oficialmente vier a substituí-lo.</w:t>
      </w:r>
    </w:p>
    <w:p w14:paraId="101F7BA0"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TERCEIRA - O aluguel será exigível, impreterivelmente, no dia do vencimento supra estabelecido, devendo o pagamento ser efetuado no (endereço completo), ou por meio de depósito ou transferência em conta indicada por escrito pelo LOCADOR. O pagamento após o vencimento implicará multa de mora de ____% (percentual por extenso) sobre o débito, juros de mora de 1% (um por cento) ao mês e correção monetária pelo índice previsto na Cláusula Segunda.</w:t>
      </w:r>
    </w:p>
    <w:p w14:paraId="101F7BA0"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Fique atento à tributação do aluguel recebido. Se o LOCATÁRIO for pessoa jurídica e o LOCADOR pessoa física, cabe ao LOCATÁRIO reter o Imposto de Renda na fonte pela tabela progressiva e informar o valor no comprovante anual de rendimentos. Se quem paga é pessoa física, não há retenção, mas o LOCADOR deve recolher o carnê-leão até o último dia útil do mês seguinte ao recebimento e levar o rendimento à declaração de ajuste anual. IPTU, condomínio e demais encargos pagos pelo LOCATÁRIO diretamente às repartições ou ao condomínio não compõem a base de cálculo do imposto do LOCADOR.</w:t>
      </w:r>
    </w:p>
    <w:p w14:paraId="22D66452"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color w:val="000000"/>
          <w:kern w:val="0"/>
          <w:lang w:eastAsia="pt-BR"/>
          <w14:ligatures w14:val="none"/>
        </w:rPr>
        <w:t>Parágrafo único: A eventual tolerância em qualquer atraso ou demora no pagamento de aluguéis, impostos, taxas, seguro, ou demais encargos de responsabilidade do LOCATÁRIO, em hipótese alguma poderá ser considerada como modificação das condições do contrato, que permanecerão em vigor para todos os efeitos.</w:t>
      </w:r>
    </w:p>
    <w:p w14:paraId="15D3644D"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QUARTA - Além do aluguel, são encargos do LOCATÁRIO e dos FIADORES, na forma do art. 23 da Lei nº 8.245/1991, o imposto predial e territorial urbano (IPTU), o prêmio do seguro de incêndio, as taxas de luz, força, água, saneamento, esgoto e gás e demais serviços de consumo individual, e as despesas ordinárias de condomínio, assim entendidas as necessárias à administração e ao funcionamento regular do edifício, que serão pagas às repartições arrecadadoras respectivas ou ao condomínio. Permanecem a cargo do LOCADOR, nos termos do art. 22 da mesma Lei, as despesas extraordinárias de condomínio, entre elas obras que interessem à estrutura integral do imóvel, pintura de fachadas, instalação de equipamentos de segurança, constituição de fundo de reserva e indenizações trabalhistas anteriores ao início da locação, bem como os reparos decorrentes de vícios de construção ou de defeitos anteriores à locação. Incumbe ao LOCATÁRIO, também, satisfazer por sua conta as exigências das autoridades sanitárias e de higiene ou do condomínio, relativas ao uso que der ao imóvel.</w:t>
      </w:r>
    </w:p>
    <w:p w14:paraId="15D3644D"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A divisão dos encargos não é livre: o art. 22 da Lei nº 8.245/1991 mantém com o locador as despesas extraordinárias de condomínio, e o art. 23, inciso XII, atribui ao locatário apenas as ordinárias, ligadas ao funcionamento do dia a dia do prédio. O art. 25 permite transferir ao locatário o IPTU e o prêmio do seguro de incêndio, desde que expressamente previsto, como aqui. Cobrar do inquilino fundo de reserva, pintura de fachada ou troca de elevador é indevido e gera direito à restituição dos valores pagos.</w:t>
      </w:r>
    </w:p>
    <w:p w14:paraId="69BB8E86"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QUINTA - O LOCATÁRIO não poderá ceder, emprestar ou sublocar, no todo ou em parte, o imóvel, sem o consentimento prévio e escrito do LOCADOR, exigido pelo art. 13 da Lei nº 8.245/1991, e dele usará de forma a não prejudicar as condições estéticas e de segurança, a moral, a tranquilidade e o bem-estar dos vizinhos.</w:t>
      </w:r>
    </w:p>
    <w:p w14:paraId="5B579F7E"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SEXTA - O LOCATÁRIO recebe o imóvel (dados adicionais, se necessário) em perfeito estado de conservação e limpeza, conforme termo de vistoria de entrada que, assinado pelas partes e acompanhado de registro fotográfico datado, integra este contrato como anexo, e obriga-se pela sua conservação, trazendo-o sempre nas mesmas condições, responsabilizando-se pela imediata reparação de qualquer estrago feito por si, seus prepostos ou visitantes, obrigando-se, ainda, a restituí-lo, quando finda ou rescindida a locação, limpo, (pintura nova) e conservado, com todas as instalações em perfeito funcionamento. Sendo necessário substituir qualquer aparelho ou peça de instalação, a substituição se fará por outra de qualidade equivalente, de forma que, quando entregues as chaves, esteja o imóvel em condições de ser novamente alugado, sem que para isso seja necessária qualquer despesa por parte do LOCADOR, ressalvados os desgastes naturais decorrentes do uso normal do imóvel.</w:t>
      </w:r>
    </w:p>
    <w:p w14:paraId="4B8E856E"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Parágrafo único:</w:t>
      </w:r>
      <w:r w:rsidRPr="006249D6">
        <w:rPr>
          <w:rFonts w:ascii="Nunito" w:eastAsia="Times New Roman" w:hAnsi="Nunito" w:cs="Times New Roman"/>
          <w:color w:val="000000"/>
          <w:kern w:val="0"/>
          <w:lang w:eastAsia="pt-BR"/>
          <w14:ligatures w14:val="none"/>
        </w:rPr>
        <w:t> O LOCADOR, por si ou por preposto, poderá visitar o imóvel, durante a locação, para verificar o exato cumprimento das cláusulas deste contrato.</w:t>
      </w:r>
    </w:p>
    <w:p w14:paraId="35A1B2F0"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SÉTIMA - A infração de qualquer das cláusulas deste contrato faz incorrer o infrator na multa de ____% (percentual por extenso) sobre o aluguel anual em vigor à época da infração e importa na rescisão de pleno direito, sujeitando-se a parte inadimplente ao pagamento das perdas e danos que forem apurados. Na hipótese de devolução do imóvel pelo LOCATÁRIO antes do termo final ajustado, a multa será exigida proporcionalmente ao período de cumprimento do contrato, na forma do art. 4º da Lei nº 8.245/1991.</w:t>
      </w:r>
    </w:p>
    <w:p w14:paraId="35A1B2F0"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Duas correções relevantes. A multa não pode ser irredutível, expressão retirada desta cláusula: o art. 413 do Código Civil (Lei nº 10.406/2002) obriga o juiz a reduzi-la quando for excessiva ou quando parte da obrigação já tiver sido cumprida. E, na devolução antecipada do imóvel, o art. 4º da Lei nº 8.245/1991 determina que a multa seja proporcional ao período ainda não cumprido, sendo que o parágrafo único dispensa a multa quando a devolução decorrer de transferência do locatário, pelo empregador, para outra localidade, desde que o locador seja notificado com 30 (trinta) dias de antecedência.</w:t>
      </w:r>
    </w:p>
    <w:p w14:paraId="175A8332"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CLÁUSULA OITAVA </w:t>
      </w:r>
      <w:r w:rsidRPr="006249D6">
        <w:rPr>
          <w:rFonts w:ascii="Nunito" w:eastAsia="Times New Roman" w:hAnsi="Nunito" w:cs="Times New Roman"/>
          <w:color w:val="000000"/>
          <w:kern w:val="0"/>
          <w:lang w:eastAsia="pt-BR"/>
          <w14:ligatures w14:val="none"/>
        </w:rPr>
        <w:t>- Nenhuma obra ou modificação será feita no imóvel sem autorização prévia e escrita do LOCADOR. Qualquer benfeitoria porventura construída adere ao imóvel, renunciando o LOCATÁRIO, expressamente, ao direito de retenção ou de indenização, salvo se convier ao LOCADOR que tudo seja reposto no anterior estado, cabendo, neste caso, ao LOCATÁRIO fazer a reposição por sua conta, responsabilizando-se por aluguéis, tributos e encargos até a conclusão da obra.</w:t>
      </w:r>
    </w:p>
    <w:p w14:paraId="175A8332"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A renúncia do LOCATÁRIO à indenização e ao direito de retenção por benfeitorias é válida na locação de imóvel urbano, como firmou a Súmula 335 do Superior Tribunal de Justiça, ainda que o art. 35 da Lei nº 8.245/1991 estabeleça regra diferente na ausência de cláusula. A consequência prática é que o inquilino que investir em reforma, mesmo necessária, não terá o valor de volta nem poderá permanecer no imóvel até ser ressarcido. Quem pretende fazer obras deve negociar por escrito, antes de começar, o abatimento no aluguel ou a indenização.</w:t>
      </w:r>
    </w:p>
    <w:p w14:paraId="0667DF1F"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NONA - Como única garantia do cumprimento das obrigações pactuadas, na modalidade de fiança prevista no art. 37, inciso II, da Lei nº 8.245/1991, assinam ao final os FIADORES, qualificados no preâmbulo deste instrumento, responsabilizando-se solidariamente, como principais pagadores, pelo fiel cumprimento de todas as cláusulas ora reciprocamente estipuladas e aceitas, inclusive pela indenização de danos no imóvel e pelos reparos necessários, além dos ônus judiciais respectivos.</w:t>
      </w:r>
    </w:p>
    <w:p w14:paraId="0667DF1F"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Importante: o art. 37, parágrafo único, da Lei nº 8.245/1991 proíbe expressamente exigir mais de uma modalidade de garantia no mesmo contrato de locação, sob pena de nulidade da exigência. Ou fiança, ou caução, ou seguro de fiança locatícia, ou cessão fiduciária de quotas de fundo de investimento, nunca duas ao mesmo tempo. Se a opção for pela caução em dinheiro, o art. 38, § 2º, limita o valor a 3 (três) meses de aluguel e obriga o depósito em caderneta de poupança, revertendo os rendimentos ao locatário ao final. Exigir fiador e ainda reter depósito é prática comum e ilegal.</w:t>
      </w:r>
    </w:p>
    <w:p w14:paraId="59E76673"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 1º Os FIADORES e principais pagadores obrigam-se também pelas despesas judiciais, pelos acessórios da dívida principal e pelos honorários de advogado, no importe de ____% (percentual por extenso) sobre o valor da causa, tanto na ação de despejo quanto na execução de aluguéis, tributos e demais encargos, sendo-lhes assegurada a citação prevista no art. 62, inciso I, da Lei nº 8.245/1991 e a faculdade de purgar a mora na forma do inciso II do mesmo artigo.</w:t>
      </w:r>
    </w:p>
    <w:p w14:paraId="59E76673"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Não tem eficácia a cláusula em que os fiadores renunciam ao direito de serem cientificados ou citados da ação de despejo. Desde a Lei nº 12.112/2009, o art. 62, inciso I, da Lei nº 8.245/1991 determina que os fiadores sejam citados para responder ao pedido de cobrança cumulado com o despejo por falta de pagamento, e o inciso II lhes assegura o direito de purgar a mora no prazo de 15 (quinze) dias, contados da citação, evitando a rescisão e a execução contra o seu patrimônio. O contraditório é garantia constitucional e não pode ser afastado por cláusula contratual.</w:t>
      </w:r>
    </w:p>
    <w:p w14:paraId="1D5240D7"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 2º A responsabilidade do LOCATÁRIO e dos FIADORES pelo aluguel e pelas demais obrigações legais e contratuais estende-se até a efetiva devolução das chaves e a quitação de todos os débitos da locação e seus consectários legais e contratuais, inclusive reparos, se necessários, prorrogando-se a fiança até a entrega das chaves ainda que a locação venha a ser prorrogada por prazo indeterminado, na forma do art. 39 da Lei nº 8.245/1991.</w:t>
      </w:r>
    </w:p>
    <w:p w14:paraId="1D5240D7"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A fiança acompanha a prorrogação do contrato até a entrega das chaves (art. 39 da Lei nº 8.245/1991, com a redação da Lei nº 12.112/2009), mas isso não prende o fiador indefinidamente: prorrogada a locação por prazo indeterminado, o art. 40, inciso X, permite que ele se exonere mediante notificação ao locador, respondendo ainda por 120 (cento e vinte) dias contados da notificação. O locador, por sua vez, pode exigir a substituição da garantia nas demais hipóteses do art. 40, entre elas morte, insolvência ou recuperação judicial do fiador.</w:t>
      </w:r>
    </w:p>
    <w:p w14:paraId="778E43A1"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DÉCIMA - É de responsabilidade do LOCATÁRIO o pagamento do prêmio do seguro anual contra incêndio do imóvel locado, contratado em nome do LOCADOR e garantindo o valor real do bem, atribuição expressamente admitida pelo art. 25 da Lei nº 8.245/1991.</w:t>
      </w:r>
    </w:p>
    <w:p w14:paraId="27C57B4A"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b/>
          <w:bCs/>
          <w:color w:val="000000"/>
          <w:kern w:val="0"/>
          <w:lang w:eastAsia="pt-BR"/>
          <w14:ligatures w14:val="none"/>
        </w:rPr>
        <w:t>CLÁUSULA DÉCIMA PRIMEIRA </w:t>
      </w:r>
      <w:r w:rsidRPr="006249D6">
        <w:rPr>
          <w:rFonts w:ascii="Nunito" w:eastAsia="Times New Roman" w:hAnsi="Nunito" w:cs="Times New Roman"/>
          <w:color w:val="000000"/>
          <w:kern w:val="0"/>
          <w:lang w:eastAsia="pt-BR"/>
          <w14:ligatures w14:val="none"/>
        </w:rPr>
        <w:t>- Na hipótese de ser necessária qualquer medida judicial, o LOCADOR, o LOCATÁRIO e os FIADORES poderão ser citados pelo correio, com Aviso de Recebimento dirigido aos respectivos endereços mencionados no preâmbulo deste instrumento.</w:t>
      </w:r>
    </w:p>
    <w:p w14:paraId="27C57B4A"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DÉCIMA SEGUNDA - Em caso de venda, promessa de venda, cessão ou promessa de cessão de direitos, ou dação em pagamento do imóvel locado, o LOCATÁRIO terá preferência para adquiri-lo em igualdade de condições com terceiros, devendo o LOCADOR dar-lhe ciência do negócio por escrito, com todos os seus elementos, na forma dos arts. 27 a 34 da Lei nº 8.245/1991. O LOCATÁRIO terá 30 (trinta) dias, contados do recebimento da notificação, para manifestar de forma inequívoca o seu interesse.</w:t>
      </w:r>
    </w:p>
    <w:p w14:paraId="27C57B4A"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Para que a preferência realmente proteja o inquilino, o contrato precisa estar averbado na matrícula do imóvel, no Cartório de Registro de Imóveis, com pelo menos 30 (trinta) dias de antecedência do negócio. Sem essa averbação, o locatário preterido só consegue pedir perdas e danos; com ela, pode depositar o preço e reclamar o imóvel para si em até 6 (seis) meses do registro da venda, conforme o art. 33 da Lei nº 8.245/1991. A averbação da cláusula de vigência, prevista no art. 8º, é o que obriga o comprador a respeitar a locação até o fim do prazo.</w:t>
      </w:r>
    </w:p>
    <w:p w14:paraId="27C57B4A"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DÉCIMA TERCEIRA - Sendo a locação destinada a fim não residencial, o LOCATÁRIO poderá pleitear a renovação compulsória do contrato desde que preenchidos os requisitos dos arts. 51 a 57 da Lei nº 8.245/1991, observado o prazo legal para a propositura da ação renovatória.</w:t>
      </w:r>
    </w:p>
    <w:p w14:paraId="27C57B4A"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A ação renovatória garante ao empresário a permanência no ponto comercial, mas depende de requisitos rígidos: contrato escrito com prazo determinado, prazo mínimo de 5 (cinco) anos ininterruptos, somados os contratos sucessivos, e exploração do mesmo ramo pelo prazo mínimo e ininterrupto de 3 (três) anos. O ponto mais perigoso é o prazo para ajuizar: a ação precisa ser proposta no intervalo de 1 (um) ano a, no máximo, 6 (seis) meses antes do término do contrato em vigor, e esse prazo é decadencial, ou seja, perdido não se recupera. Se o imóvel é usado para comércio, marque essa data na agenda e procure um advogado com antecedência.</w:t>
      </w:r>
    </w:p>
    <w:p w14:paraId="27C57B4A"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DÉCIMA QUARTA - O LOCATÁRIO poderá devolver o imóvel antes do término do prazo ajustado mediante aviso escrito com antecedência mínima de 30 (trinta) dias e pagamento da multa prevista na Cláusula Sétima, proporcional ao período de cumprimento do contrato. Fica dispensado do pagamento da multa o LOCATÁRIO que devolver o imóvel em razão de transferência, pelo seu empregador, para prestar serviços em localidade diversa daquela do início da locação, desde que notifique o LOCADOR por escrito com, no mínimo, 30 (trinta) dias de antecedência, na forma do parágrafo único do art. 4º da Lei nº 8.245/1991.</w:t>
      </w:r>
    </w:p>
    <w:p w14:paraId="27C57B4A"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DÉCIMA QUINTA - As partes realizarão vistoria conjunta do imóvel no início e no término da locação, lavrando termos escritos acompanhados de registro fotográfico datado, que integrarão este contrato. A comparação entre os dois termos servirá de base exclusiva para a apuração de eventuais danos e para a liberação da garantia, ressalvados os desgastes naturais decorrentes do uso normal do imóvel.</w:t>
      </w:r>
    </w:p>
    <w:p w14:paraId="27C57B4A"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DÉCIMA SEXTA - As partes obrigam-se a tratar os dados pessoais a que tiverem acesso em razão deste contrato exclusivamente para as finalidades nele previstas, para a cobrança dos valores devidos e para o cumprimento de obrigações legais e regulatórias, observando a Lei nº 13.709/2018 (Lei Geral de Proteção de Dados Pessoais). Os dados dos FIADORES e de eventuais ocupantes do imóvel receberão o mesmo tratamento, adotando as partes medidas técnicas e administrativas de segurança adequadas e comunicando uma à outra qualquer incidente de segurança no prazo de ____ horas do conhecimento do fato.</w:t>
      </w:r>
    </w:p>
    <w:p w14:paraId="27C57B4A"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DÉCIMA SÉTIMA - As partes reconhecem como válida e plenamente eficaz a assinatura deste contrato e de seus anexos por meio eletrônico ou digital, nos termos da Medida Provisória nº 2.200-2/2001 e da Lei nº 14.063/2020, ainda que a plataforma utilizada não seja vinculada à Infraestrutura de Chaves Públicas Brasileira (ICP-Brasil), desde que assegurada a identificação inequívoca dos signatários, inclusive dos FIADORES e respectivos cônjuges.</w:t>
      </w:r>
    </w:p>
    <w:p w14:paraId="5E178CD7"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val="0"/>
          <w:i w:val="0"/>
          <w:color w:val="000000"/>
          <w:sz w:val="22"/>
        </w:rPr>
        <w:t>CLÁUSULA DÉCIMA OITAVA - O foro deste contrato, inclusive para os fiadores, é o da Comarca de (Cidade/Estado), na forma facultada pelo art. 58, inciso II, da Lei nº 8.245/1991, que na falta de eleição determina a competência do foro da situação do imóvel.</w:t>
      </w:r>
    </w:p>
    <w:p w14:paraId="4882EE78"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color w:val="000000"/>
          <w:kern w:val="0"/>
          <w:lang w:eastAsia="pt-BR"/>
          <w14:ligatures w14:val="none"/>
        </w:rPr>
        <w:t>E por estarem justos e contratados, lavraram o presente instrumento em ____ vias de igual teor e forma para as finalidades de direito.</w:t>
      </w:r>
    </w:p>
    <w:p w14:paraId="62034DAE"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color w:val="000000"/>
          <w:kern w:val="0"/>
          <w:lang w:eastAsia="pt-BR"/>
          <w14:ligatures w14:val="none"/>
        </w:rPr>
        <w:t>(Local e Data)</w:t>
      </w:r>
    </w:p>
    <w:p w14:paraId="33C7EF1E"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color w:val="000000"/>
          <w:kern w:val="0"/>
          <w:lang w:eastAsia="pt-BR"/>
          <w14:ligatures w14:val="none"/>
        </w:rPr>
        <w:lastRenderedPageBreak/>
        <w:t>(Nome e assinatura do Locador)</w:t>
      </w:r>
    </w:p>
    <w:p w14:paraId="182D22C0"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color w:val="000000"/>
          <w:kern w:val="0"/>
          <w:lang w:eastAsia="pt-BR"/>
          <w14:ligatures w14:val="none"/>
        </w:rPr>
        <w:t>(Nome e assinatura do Locatário)</w:t>
      </w:r>
    </w:p>
    <w:p w14:paraId="169AD2DB"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color w:val="000000"/>
          <w:kern w:val="0"/>
          <w:lang w:eastAsia="pt-BR"/>
          <w14:ligatures w14:val="none"/>
        </w:rPr>
        <w:t>(Nome e assinatura do Fiador)</w:t>
      </w:r>
    </w:p>
    <w:p w14:paraId="4C97CA63" w14:textId="77777777" w:rsidR="006249D6" w:rsidRPr="006249D6" w:rsidRDefault="006249D6" w:rsidP="006249D6">
      <w:pPr>
        <w:spacing w:before="100" w:beforeAutospacing="1" w:after="100" w:afterAutospacing="1" w:line="240" w:lineRule="auto"/>
        <w:ind w:left="150" w:right="150"/>
        <w:jc w:val="both"/>
        <w:rPr>
          <w:rFonts w:ascii="Nunito" w:eastAsia="Times New Roman" w:hAnsi="Nunito" w:cs="Times New Roman"/>
          <w:color w:val="000000"/>
          <w:kern w:val="0"/>
          <w:lang w:eastAsia="pt-BR"/>
          <w14:ligatures w14:val="none"/>
        </w:rPr>
      </w:pPr>
      <w:r w:rsidRPr="006249D6">
        <w:rPr>
          <w:rFonts w:ascii="Nunito" w:eastAsia="Times New Roman" w:hAnsi="Nunito" w:cs="Times New Roman"/>
          <w:color w:val="000000"/>
          <w:kern w:val="0"/>
          <w:lang w:eastAsia="pt-BR"/>
          <w14:ligatures w14:val="none"/>
        </w:rPr>
        <w:t>(Nome e assinatura do Cônjuge do Fiador, se houver)</w:t>
      </w:r>
    </w:p>
    <w:p w14:paraId="4C97CA63" w14:textId="77777777" w:rsidR="006249D6" w:rsidRPr="006249D6" w:rsidRDefault="006249D6" w:rsidP="006249D6">
      <w:pPr>
        <w:spacing w:before="100" w:beforeAutospacing="1" w:after="100" w:afterAutospacing="1" w:line="240" w:lineRule="auto"/>
        <w:ind w:left="150" w:right="150"/>
        <w:jc w:val="center"/>
      </w:pPr>
      <w:r>
        <w:rPr>
          <w:rFonts w:ascii="Nunito" w:hAnsi="Nunito" w:cs="Nunito" w:eastAsia="Nunito"/>
          <w:b w:val="0"/>
          <w:i w:val="0"/>
          <w:color w:val="000000"/>
          <w:sz w:val="22"/>
        </w:rPr>
        <w:t>(Nome, RG e assinatura da Testemunha 1)</w:t>
      </w:r>
    </w:p>
    <w:p w14:paraId="4C97CA63" w14:textId="77777777" w:rsidR="006249D6" w:rsidRPr="006249D6" w:rsidRDefault="006249D6" w:rsidP="006249D6">
      <w:pPr>
        <w:spacing w:before="100" w:beforeAutospacing="1" w:after="100" w:afterAutospacing="1" w:line="240" w:lineRule="auto"/>
        <w:ind w:left="150" w:right="150"/>
        <w:jc w:val="center"/>
      </w:pPr>
      <w:r>
        <w:rPr>
          <w:rFonts w:ascii="Nunito" w:hAnsi="Nunito" w:cs="Nunito" w:eastAsia="Nunito"/>
          <w:b w:val="0"/>
          <w:i w:val="0"/>
          <w:color w:val="000000"/>
          <w:sz w:val="22"/>
        </w:rPr>
        <w:t>(Nome, RG e assinatura da Testemunha 2)</w:t>
      </w:r>
    </w:p>
    <w:p w14:paraId="4C97CA63" w14:textId="77777777" w:rsidR="006249D6" w:rsidRPr="006249D6" w:rsidRDefault="006249D6" w:rsidP="006249D6">
      <w:pPr>
        <w:spacing w:before="100" w:beforeAutospacing="1" w:after="100" w:afterAutospacing="1" w:line="240" w:lineRule="auto"/>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O contrato de locação de imóvel vale como título executivo extrajudicial quanto ao aluguel e aos encargos ainda que não tenha testemunhas, por força do art. 784, inciso VIII, do Código de Processo Civil (Lei nº 13.105/2015). Ainda assim, colher duas testemunhas é recomendável, porque as demais obrigações do contrato, como reparos e indenizações, seguem a regra geral do inciso III do mesmo artigo, que exige a assinatura de duas testemunhas.</w:t>
      </w:r>
    </w:p>
    <w:p w14:paraId="763C25F5" w14:textId="77777777" w:rsidR="006249D6" w:rsidRPr="006249D6" w:rsidRDefault="006249D6" w:rsidP="006249D6">
      <w:pPr>
        <w:shd w:val="clear" w:color="auto" w:fill="FFFFFF"/>
        <w:spacing w:before="100" w:beforeAutospacing="1" w:after="100" w:afterAutospacing="1" w:line="240" w:lineRule="auto"/>
        <w:ind w:left="150" w:right="150"/>
        <w:jc w:val="both"/>
      </w:pPr>
      <w:r>
        <w:rPr>
          <w:rFonts w:ascii="Nunito" w:hAnsi="Nunito" w:cs="Nunito" w:eastAsia="Nunito"/>
          <w:b/>
          <w:i/>
          <w:color w:val="9C2727"/>
          <w:sz w:val="22"/>
        </w:rPr>
        <w:t>MODELO SUGESTIVO — Documento disponibilizado gratuitamente pela Bethof como base para a elaboração de um instrumento personalizado. Não substitui a análise de um advogado nem a orientação do seu contador, e a sua utilização é de exclusiva responsabilidade do usuário. As referências legais indicadas nas Notas Bethof refletem a legislação vigente na data da revisão e podem ser alteradas — confirme a norma aplicável ao seu caso antes de assinar. Em caso de dúvida, procure um profissional da área ou fale com a Bethof.</w:t>
      </w:r>
    </w:p>
    <w:p w14:paraId="2C21591F" w14:textId="77777777" w:rsidR="00492658" w:rsidRPr="006249D6" w:rsidRDefault="00492658" w:rsidP="006249D6"/>
    <w:sectPr w:rsidR="00492658" w:rsidRPr="006249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D7"/>
    <w:rsid w:val="00492658"/>
    <w:rsid w:val="006249D6"/>
    <w:rsid w:val="006461D7"/>
    <w:rsid w:val="00BE38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D5DD6"/>
  <w15:chartTrackingRefBased/>
  <w15:docId w15:val="{5C2E59DE-D485-460D-82AD-7636DEFF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6461D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Hyperlink">
    <w:name w:val="Hyperlink"/>
    <w:basedOn w:val="Fontepargpadro"/>
    <w:uiPriority w:val="99"/>
    <w:semiHidden/>
    <w:unhideWhenUsed/>
    <w:rsid w:val="006461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177251">
      <w:bodyDiv w:val="1"/>
      <w:marLeft w:val="0"/>
      <w:marRight w:val="0"/>
      <w:marTop w:val="0"/>
      <w:marBottom w:val="0"/>
      <w:divBdr>
        <w:top w:val="none" w:sz="0" w:space="0" w:color="auto"/>
        <w:left w:val="none" w:sz="0" w:space="0" w:color="auto"/>
        <w:bottom w:val="none" w:sz="0" w:space="0" w:color="auto"/>
        <w:right w:val="none" w:sz="0" w:space="0" w:color="auto"/>
      </w:divBdr>
    </w:div>
    <w:div w:id="722563487">
      <w:bodyDiv w:val="1"/>
      <w:marLeft w:val="0"/>
      <w:marRight w:val="0"/>
      <w:marTop w:val="0"/>
      <w:marBottom w:val="0"/>
      <w:divBdr>
        <w:top w:val="none" w:sz="0" w:space="0" w:color="auto"/>
        <w:left w:val="none" w:sz="0" w:space="0" w:color="auto"/>
        <w:bottom w:val="none" w:sz="0" w:space="0" w:color="auto"/>
        <w:right w:val="none" w:sz="0" w:space="0" w:color="auto"/>
      </w:divBdr>
    </w:div>
    <w:div w:id="74175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1271</Words>
  <Characters>6864</Characters>
  <Application>Microsoft Office Word</Application>
  <DocSecurity>0</DocSecurity>
  <Lines>57</Lines>
  <Paragraphs>16</Paragraphs>
  <ScaleCrop>false</ScaleCrop>
  <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Locação De Imóvel Residencial-Comercial</dc:title>
  <dc:subject/>
  <dc:creator>Bethof</dc:creator>
  <cp:keywords/>
  <dc:description>Modelo sugestivo disponibilizado gratuitamente pela Bethof. Não substitui orientação jurídica ou contábil profissional.</dc:description>
  <cp:lastModifiedBy>Bethof</cp:lastModifiedBy>
  <cp:revision>2</cp:revision>
  <dcterms:created xsi:type="dcterms:W3CDTF">2026-07-30T12:34:00Z</dcterms:created>
  <dcterms:modified xsi:type="dcterms:W3CDTF">2026-07-30T12:34:00Z</dcterms:modified>
  <cp:category>Modelo de documento</cp:category>
</cp:coreProperties>
</file>